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40" w:rsidRPr="00EE7040" w:rsidRDefault="00EE7040" w:rsidP="00EE7040">
      <w:pPr>
        <w:shd w:val="clear" w:color="auto" w:fill="FFFFFF"/>
        <w:spacing w:after="120" w:line="240" w:lineRule="auto"/>
        <w:outlineLvl w:val="3"/>
        <w:rPr>
          <w:rFonts w:ascii="Arial" w:eastAsia="Times New Roman" w:hAnsi="Arial" w:cs="Arial"/>
          <w:b/>
          <w:bCs/>
          <w:color w:val="4A5E81"/>
          <w:sz w:val="21"/>
          <w:szCs w:val="21"/>
          <w:lang w:eastAsia="fr-FR"/>
        </w:rPr>
      </w:pPr>
      <w:r w:rsidRPr="00EE7040">
        <w:rPr>
          <w:rFonts w:ascii="Arial" w:eastAsia="Times New Roman" w:hAnsi="Arial" w:cs="Arial"/>
          <w:b/>
          <w:bCs/>
          <w:color w:val="4A5E81"/>
          <w:sz w:val="21"/>
          <w:szCs w:val="21"/>
          <w:lang w:eastAsia="fr-FR"/>
        </w:rPr>
        <w:t>Article 17</w:t>
      </w:r>
    </w:p>
    <w:p w:rsidR="00EE7040" w:rsidRPr="00EE7040" w:rsidRDefault="00EE7040" w:rsidP="00EE7040">
      <w:pPr>
        <w:shd w:val="clear" w:color="auto" w:fill="FFFFFF"/>
        <w:spacing w:after="240" w:line="240" w:lineRule="auto"/>
        <w:rPr>
          <w:rFonts w:ascii="Arial" w:eastAsia="Times New Roman" w:hAnsi="Arial" w:cs="Arial"/>
          <w:color w:val="3C3C3C"/>
          <w:sz w:val="21"/>
          <w:szCs w:val="21"/>
          <w:lang w:eastAsia="fr-FR"/>
        </w:rPr>
      </w:pPr>
      <w:r w:rsidRPr="00EE7040">
        <w:rPr>
          <w:rFonts w:ascii="Arial" w:eastAsia="Times New Roman" w:hAnsi="Arial" w:cs="Arial"/>
          <w:color w:val="3C3C3C"/>
          <w:sz w:val="21"/>
          <w:szCs w:val="21"/>
          <w:lang w:eastAsia="fr-FR"/>
        </w:rPr>
        <w:br/>
        <w:t>I. - Les présidents, les directeurs généraux et les gérants d'une société employant au moins cinq cents salariés, ou appartenant à un groupe de sociétés dont la société mère a son siège social en France et dont l'effectif comprend au moins cinq cents salariés, et dont le chiffre d'affaires ou le chiffre d'affaires consolidé est supérieur à 100 millions d'euros sont tenus de prendre les mesures destinées à prévenir et à détecter la commission, en France ou à l'étranger, de faits de corruption ou de trafic d'influence selon les modalités prévues au II.</w:t>
      </w:r>
      <w:r w:rsidRPr="00EE7040">
        <w:rPr>
          <w:rFonts w:ascii="Arial" w:eastAsia="Times New Roman" w:hAnsi="Arial" w:cs="Arial"/>
          <w:color w:val="3C3C3C"/>
          <w:sz w:val="21"/>
          <w:szCs w:val="21"/>
          <w:lang w:eastAsia="fr-FR"/>
        </w:rPr>
        <w:br/>
        <w:t>Cette obligation s'impose également :</w:t>
      </w:r>
      <w:r w:rsidRPr="00EE7040">
        <w:rPr>
          <w:rFonts w:ascii="Arial" w:eastAsia="Times New Roman" w:hAnsi="Arial" w:cs="Arial"/>
          <w:color w:val="3C3C3C"/>
          <w:sz w:val="21"/>
          <w:szCs w:val="21"/>
          <w:lang w:eastAsia="fr-FR"/>
        </w:rPr>
        <w:br/>
        <w:t>1° Aux présidents et directeurs généraux d'établissements publics à caractère industriel et commercial employant au moins cinq cents salariés, ou appartenant à un groupe public dont l'effectif comprend au moins cinq cents salariés, et dont le chiffre d'affaires ou le chiffre d'affaires consolidé est supérieur à 100 millions d'euros ;</w:t>
      </w:r>
      <w:r w:rsidRPr="00EE7040">
        <w:rPr>
          <w:rFonts w:ascii="Arial" w:eastAsia="Times New Roman" w:hAnsi="Arial" w:cs="Arial"/>
          <w:color w:val="3C3C3C"/>
          <w:sz w:val="21"/>
          <w:szCs w:val="21"/>
          <w:lang w:eastAsia="fr-FR"/>
        </w:rPr>
        <w:br/>
        <w:t>2° Selon les attributions qu'ils exercent, aux membres du directoire des sociétés anonymes régies par l'article L. 225-57 du code de commerce et employant au moins cinq cents salariés, ou appartenant à un groupe de sociétés dont l'effectif comprend au moins cinq cents salariés, et dont le chiffre d'affaires ou le chiffre d'affaires consolidé est supérieur à 100 millions d'euros.</w:t>
      </w:r>
      <w:r w:rsidRPr="00EE7040">
        <w:rPr>
          <w:rFonts w:ascii="Arial" w:eastAsia="Times New Roman" w:hAnsi="Arial" w:cs="Arial"/>
          <w:color w:val="3C3C3C"/>
          <w:sz w:val="21"/>
          <w:szCs w:val="21"/>
          <w:lang w:eastAsia="fr-FR"/>
        </w:rPr>
        <w:br/>
        <w:t>Lorsque la société établit des comptes consolidés, les obligations définies au présent article portent sur la société elle-même ainsi que sur l'ensemble de ses filiales, au sens de l'article L. 233-1 du code de commerce, ou des sociétés qu'elle contrôle, au sens de l'article L. 233-3 du même code. Les filiales ou sociétés contrôlées qui dépassent les seuils mentionnés au présent I sont réputées satisfaire aux obligations prévues au présent article dès lors que la société qui les contrôle, au sens du même article L. 233-3, met en œuvre les mesures et procédures prévues au II du présent article et que ces mesures et procédures s'appliquent à l'ensemble des filiales ou sociétés qu'elle contrôle.</w:t>
      </w:r>
      <w:r w:rsidRPr="00EE7040">
        <w:rPr>
          <w:rFonts w:ascii="Arial" w:eastAsia="Times New Roman" w:hAnsi="Arial" w:cs="Arial"/>
          <w:color w:val="3C3C3C"/>
          <w:sz w:val="21"/>
          <w:szCs w:val="21"/>
          <w:lang w:eastAsia="fr-FR"/>
        </w:rPr>
        <w:br/>
        <w:t>II. - Les personnes mentionnées au I mettent en œuvre les mesures et procédures suivantes :</w:t>
      </w:r>
      <w:r w:rsidRPr="00EE7040">
        <w:rPr>
          <w:rFonts w:ascii="Arial" w:eastAsia="Times New Roman" w:hAnsi="Arial" w:cs="Arial"/>
          <w:color w:val="3C3C3C"/>
          <w:sz w:val="21"/>
          <w:szCs w:val="21"/>
          <w:lang w:eastAsia="fr-FR"/>
        </w:rPr>
        <w:br/>
        <w:t>1° Un code de conduite définissant et illustrant les différents types de comportements à proscrire comme étant susceptibles de caractériser des faits de corruption ou de trafic d'influence. Ce code de conduite est intégré au règlement intérieur de l'entreprise et fait l'objet, à ce titre, de la procédure de consultation des représentants du personnel prévue à l'article L. 1321-4 du code du travail ;</w:t>
      </w:r>
      <w:r w:rsidRPr="00EE7040">
        <w:rPr>
          <w:rFonts w:ascii="Arial" w:eastAsia="Times New Roman" w:hAnsi="Arial" w:cs="Arial"/>
          <w:color w:val="3C3C3C"/>
          <w:sz w:val="21"/>
          <w:szCs w:val="21"/>
          <w:lang w:eastAsia="fr-FR"/>
        </w:rPr>
        <w:br/>
        <w:t>2° Un dispositif d'alerte interne destiné à permettre le recueil des signalements émanant d'employés et relatifs à l'existence de conduites ou de situations contraires au code de conduite de la société ;</w:t>
      </w:r>
      <w:r w:rsidRPr="00EE7040">
        <w:rPr>
          <w:rFonts w:ascii="Arial" w:eastAsia="Times New Roman" w:hAnsi="Arial" w:cs="Arial"/>
          <w:color w:val="3C3C3C"/>
          <w:sz w:val="21"/>
          <w:szCs w:val="21"/>
          <w:lang w:eastAsia="fr-FR"/>
        </w:rPr>
        <w:br/>
        <w:t>3° Une cartographie des risques prenant la forme d'une documentation régulièrement actualisée et destinée à identifier, analyser et hiérarchiser les risques d'exposition de la société à des sollicitations externes aux fins de corruption, en fonction notamment des secteurs d'activités et des zones géographiques dans lesquels la société exerce son activité ;</w:t>
      </w:r>
      <w:r w:rsidRPr="00EE7040">
        <w:rPr>
          <w:rFonts w:ascii="Arial" w:eastAsia="Times New Roman" w:hAnsi="Arial" w:cs="Arial"/>
          <w:color w:val="3C3C3C"/>
          <w:sz w:val="21"/>
          <w:szCs w:val="21"/>
          <w:lang w:eastAsia="fr-FR"/>
        </w:rPr>
        <w:br/>
        <w:t>4° Des procédures d'évaluation de la situation des clients, fournisseurs de premier rang et intermédiaires au regard de la cartographie des risques ;</w:t>
      </w:r>
      <w:r w:rsidRPr="00EE7040">
        <w:rPr>
          <w:rFonts w:ascii="Arial" w:eastAsia="Times New Roman" w:hAnsi="Arial" w:cs="Arial"/>
          <w:color w:val="3C3C3C"/>
          <w:sz w:val="21"/>
          <w:szCs w:val="21"/>
          <w:lang w:eastAsia="fr-FR"/>
        </w:rPr>
        <w:br/>
        <w:t>5° Des procédures de contrôles comptables, internes ou externes, destinées à s'assurer que les livres, registres et comptes ne sont pas utilisés pour masquer des faits de corruption ou de trafic d'influence. Ces contrôles peuvent être réalisés soit par les services de contrôle comptable et financier propres à la société, soit en ayant recours à un auditeur externe à l'occasion de l'accomplissement des audits de certification de comptes prévus à l'article L. 823-9 du code de commerce ;</w:t>
      </w:r>
      <w:r w:rsidRPr="00EE7040">
        <w:rPr>
          <w:rFonts w:ascii="Arial" w:eastAsia="Times New Roman" w:hAnsi="Arial" w:cs="Arial"/>
          <w:color w:val="3C3C3C"/>
          <w:sz w:val="21"/>
          <w:szCs w:val="21"/>
          <w:lang w:eastAsia="fr-FR"/>
        </w:rPr>
        <w:br/>
        <w:t>6° Un dispositif de formation destiné aux cadres et aux personnels les plus exposés aux risques de corruption et de trafic d'influence ;</w:t>
      </w:r>
      <w:r w:rsidRPr="00EE7040">
        <w:rPr>
          <w:rFonts w:ascii="Arial" w:eastAsia="Times New Roman" w:hAnsi="Arial" w:cs="Arial"/>
          <w:color w:val="3C3C3C"/>
          <w:sz w:val="21"/>
          <w:szCs w:val="21"/>
          <w:lang w:eastAsia="fr-FR"/>
        </w:rPr>
        <w:br/>
        <w:t>7° Un régime disciplinaire permettant de sanctionner les salariés de la société en cas de violation du code de conduite de la société ;</w:t>
      </w:r>
      <w:r w:rsidRPr="00EE7040">
        <w:rPr>
          <w:rFonts w:ascii="Arial" w:eastAsia="Times New Roman" w:hAnsi="Arial" w:cs="Arial"/>
          <w:color w:val="3C3C3C"/>
          <w:sz w:val="21"/>
          <w:szCs w:val="21"/>
          <w:lang w:eastAsia="fr-FR"/>
        </w:rPr>
        <w:br/>
        <w:t>8° Un dispositif de contrôle et d'évaluation interne des mesures mises en œuvre.</w:t>
      </w:r>
      <w:r w:rsidRPr="00EE7040">
        <w:rPr>
          <w:rFonts w:ascii="Arial" w:eastAsia="Times New Roman" w:hAnsi="Arial" w:cs="Arial"/>
          <w:color w:val="3C3C3C"/>
          <w:sz w:val="21"/>
          <w:szCs w:val="21"/>
          <w:lang w:eastAsia="fr-FR"/>
        </w:rPr>
        <w:br/>
        <w:t>Indépendamment de la responsabilité des personnes mentionnées au I du présent article, la société est également responsable en tant que personne morale en cas de manquement aux obligations prévues au présent II.</w:t>
      </w:r>
      <w:r w:rsidRPr="00EE7040">
        <w:rPr>
          <w:rFonts w:ascii="Arial" w:eastAsia="Times New Roman" w:hAnsi="Arial" w:cs="Arial"/>
          <w:color w:val="3C3C3C"/>
          <w:sz w:val="21"/>
          <w:szCs w:val="21"/>
          <w:lang w:eastAsia="fr-FR"/>
        </w:rPr>
        <w:br/>
        <w:t>III. - L'Agence française anticorruption contrôle le respect des mesures et procédures mentionnées au II du présent article.</w:t>
      </w:r>
      <w:r w:rsidRPr="00EE7040">
        <w:rPr>
          <w:rFonts w:ascii="Arial" w:eastAsia="Times New Roman" w:hAnsi="Arial" w:cs="Arial"/>
          <w:color w:val="3C3C3C"/>
          <w:sz w:val="21"/>
          <w:szCs w:val="21"/>
          <w:lang w:eastAsia="fr-FR"/>
        </w:rPr>
        <w:br/>
        <w:t xml:space="preserve">Le contrôle est réalisé selon les modalités prévues à l'article 4. Il donne lieu à l'établissement </w:t>
      </w:r>
      <w:r w:rsidRPr="00EE7040">
        <w:rPr>
          <w:rFonts w:ascii="Arial" w:eastAsia="Times New Roman" w:hAnsi="Arial" w:cs="Arial"/>
          <w:color w:val="3C3C3C"/>
          <w:sz w:val="21"/>
          <w:szCs w:val="21"/>
          <w:lang w:eastAsia="fr-FR"/>
        </w:rPr>
        <w:lastRenderedPageBreak/>
        <w:t>d'un rapport transmis à l'autorité qui a demandé le contrôle et aux représentants de la société contrôlée. Le rapport contient les observations de l'agence sur la qualité du dispositif de prévention et de détection de la corruption mis en place au sein de la société contrôlée ainsi que, le cas échéant, des recommandations en vue de l'amélioration des procédures existantes.</w:t>
      </w:r>
      <w:r w:rsidRPr="00EE7040">
        <w:rPr>
          <w:rFonts w:ascii="Arial" w:eastAsia="Times New Roman" w:hAnsi="Arial" w:cs="Arial"/>
          <w:color w:val="3C3C3C"/>
          <w:sz w:val="21"/>
          <w:szCs w:val="21"/>
          <w:lang w:eastAsia="fr-FR"/>
        </w:rPr>
        <w:br/>
        <w:t>IV. - En cas de manquement constaté, et après avoir mis la personne concernée en mesure de présenter ses observations, le magistrat qui dirige l'agence peut adresser un avertissement aux représentants de la société.</w:t>
      </w:r>
      <w:r w:rsidRPr="00EE7040">
        <w:rPr>
          <w:rFonts w:ascii="Arial" w:eastAsia="Times New Roman" w:hAnsi="Arial" w:cs="Arial"/>
          <w:color w:val="3C3C3C"/>
          <w:sz w:val="21"/>
          <w:szCs w:val="21"/>
          <w:lang w:eastAsia="fr-FR"/>
        </w:rPr>
        <w:br/>
        <w:t>Il peut saisir la commission des sanctions afin que soit enjoint à la société et à ses représentants d'adapter les procédures de conformité internes destinées à la prévention et à la détection des faits de corruption ou de trafic d'influence.</w:t>
      </w:r>
      <w:r w:rsidRPr="00EE7040">
        <w:rPr>
          <w:rFonts w:ascii="Arial" w:eastAsia="Times New Roman" w:hAnsi="Arial" w:cs="Arial"/>
          <w:color w:val="3C3C3C"/>
          <w:sz w:val="21"/>
          <w:szCs w:val="21"/>
          <w:lang w:eastAsia="fr-FR"/>
        </w:rPr>
        <w:br/>
        <w:t>Il peut également saisir la commission des sanctions afin que soit infligée une sanction pécuniaire. Dans ce cas, il notifie les griefs à la personne physique mise en cause et, s'agissant d'une personne morale, à son représentant légal.</w:t>
      </w:r>
      <w:r w:rsidRPr="00EE7040">
        <w:rPr>
          <w:rFonts w:ascii="Arial" w:eastAsia="Times New Roman" w:hAnsi="Arial" w:cs="Arial"/>
          <w:color w:val="3C3C3C"/>
          <w:sz w:val="21"/>
          <w:szCs w:val="21"/>
          <w:lang w:eastAsia="fr-FR"/>
        </w:rPr>
        <w:br/>
        <w:t>V. - La commission des sanctions peut enjoindre à la société et à ses représentants d'adapter les procédures de conformité internes à la société destinées à la prévention et à la détection des faits de corruption ou de trafic d'influence, selon les recommandations qu'elle leur adresse à cette fin, dans un délai qu'elle fixe et qui ne peut excéder trois ans.</w:t>
      </w:r>
      <w:r w:rsidRPr="00EE7040">
        <w:rPr>
          <w:rFonts w:ascii="Arial" w:eastAsia="Times New Roman" w:hAnsi="Arial" w:cs="Arial"/>
          <w:color w:val="3C3C3C"/>
          <w:sz w:val="21"/>
          <w:szCs w:val="21"/>
          <w:lang w:eastAsia="fr-FR"/>
        </w:rPr>
        <w:br/>
        <w:t>La commission des sanctions peut prononcer une sanction pécuniaire dont le montant ne peut excéder 200 000 € pour les personnes physiques et un million d'euros pour les personnes morales.</w:t>
      </w:r>
      <w:r w:rsidRPr="00EE7040">
        <w:rPr>
          <w:rFonts w:ascii="Arial" w:eastAsia="Times New Roman" w:hAnsi="Arial" w:cs="Arial"/>
          <w:color w:val="3C3C3C"/>
          <w:sz w:val="21"/>
          <w:szCs w:val="21"/>
          <w:lang w:eastAsia="fr-FR"/>
        </w:rPr>
        <w:br/>
        <w:t>Le montant de la sanction pécuniaire prononcée est proportionné à la gravité des manquements constatés et à la situation financière de la personne physique ou morale sanctionnée.</w:t>
      </w:r>
      <w:r w:rsidRPr="00EE7040">
        <w:rPr>
          <w:rFonts w:ascii="Arial" w:eastAsia="Times New Roman" w:hAnsi="Arial" w:cs="Arial"/>
          <w:color w:val="3C3C3C"/>
          <w:sz w:val="21"/>
          <w:szCs w:val="21"/>
          <w:lang w:eastAsia="fr-FR"/>
        </w:rPr>
        <w:br/>
        <w:t>La commission des sanctions peut ordonner la publication, la diffusion ou l'affichage de la décision d'injonction ou de sanction pécuniaire ou d'un extrait de celle-ci, selon les modalités qu'elle précise. Les frais sont supportés par la personne physique ou morale sanctionnée.</w:t>
      </w:r>
      <w:r w:rsidRPr="00EE7040">
        <w:rPr>
          <w:rFonts w:ascii="Arial" w:eastAsia="Times New Roman" w:hAnsi="Arial" w:cs="Arial"/>
          <w:color w:val="3C3C3C"/>
          <w:sz w:val="21"/>
          <w:szCs w:val="21"/>
          <w:lang w:eastAsia="fr-FR"/>
        </w:rPr>
        <w:br/>
        <w:t>La commission des sanctions statue par décision motivée. Aucune sanction ni injonction ne peut être prononcée sans que la personne concernée ou son représentant ait été entendu ou, à défaut, dûment convoqué.</w:t>
      </w:r>
      <w:r w:rsidRPr="00EE7040">
        <w:rPr>
          <w:rFonts w:ascii="Arial" w:eastAsia="Times New Roman" w:hAnsi="Arial" w:cs="Arial"/>
          <w:color w:val="3C3C3C"/>
          <w:sz w:val="21"/>
          <w:szCs w:val="21"/>
          <w:lang w:eastAsia="fr-FR"/>
        </w:rPr>
        <w:br/>
        <w:t>Les sanctions pécuniaires sont versées au Trésor public et recouvrées comme créances de l'Etat étrangères à l'impôt et au domaine.</w:t>
      </w:r>
      <w:r w:rsidRPr="00EE7040">
        <w:rPr>
          <w:rFonts w:ascii="Arial" w:eastAsia="Times New Roman" w:hAnsi="Arial" w:cs="Arial"/>
          <w:color w:val="3C3C3C"/>
          <w:sz w:val="21"/>
          <w:szCs w:val="21"/>
          <w:lang w:eastAsia="fr-FR"/>
        </w:rPr>
        <w:br/>
        <w:t>Un décret en Conseil d'Etat précise les conditions de fonctionnement de la commission, notamment les conditions de récusation de ses membres.</w:t>
      </w:r>
      <w:r w:rsidRPr="00EE7040">
        <w:rPr>
          <w:rFonts w:ascii="Arial" w:eastAsia="Times New Roman" w:hAnsi="Arial" w:cs="Arial"/>
          <w:color w:val="3C3C3C"/>
          <w:sz w:val="21"/>
          <w:szCs w:val="21"/>
          <w:lang w:eastAsia="fr-FR"/>
        </w:rPr>
        <w:br/>
        <w:t>VI. - L'action de l'Agence française anticorruption se prescrit par trois années révolues à compter du jour où le manquement a été constaté si, dans ce délai, il n'a été fait aucun acte tendant à la sanction de ce manquement.</w:t>
      </w:r>
      <w:r w:rsidRPr="00EE7040">
        <w:rPr>
          <w:rFonts w:ascii="Arial" w:eastAsia="Times New Roman" w:hAnsi="Arial" w:cs="Arial"/>
          <w:color w:val="3C3C3C"/>
          <w:sz w:val="21"/>
          <w:szCs w:val="21"/>
          <w:lang w:eastAsia="fr-FR"/>
        </w:rPr>
        <w:br/>
        <w:t>VII. - Les recours formés contre les décisions de la commission des sanctions sont des recours de pleine juridiction.</w:t>
      </w:r>
      <w:r w:rsidRPr="00EE7040">
        <w:rPr>
          <w:rFonts w:ascii="Arial" w:eastAsia="Times New Roman" w:hAnsi="Arial" w:cs="Arial"/>
          <w:color w:val="3C3C3C"/>
          <w:sz w:val="21"/>
          <w:szCs w:val="21"/>
          <w:lang w:eastAsia="fr-FR"/>
        </w:rPr>
        <w:br/>
        <w:t>VIII. - Le présent article entre en vigueur le premier jour du sixième mois suivant la promulgation de la présente loi.</w:t>
      </w:r>
    </w:p>
    <w:p w:rsidR="00EE7040" w:rsidRPr="00EE7040" w:rsidRDefault="00EE7040" w:rsidP="00EE7040">
      <w:pPr>
        <w:shd w:val="clear" w:color="auto" w:fill="FFFFFF"/>
        <w:spacing w:after="0" w:line="240" w:lineRule="auto"/>
        <w:rPr>
          <w:rFonts w:ascii="Arial" w:eastAsia="Times New Roman" w:hAnsi="Arial" w:cs="Arial"/>
          <w:color w:val="3C3C3C"/>
          <w:sz w:val="21"/>
          <w:szCs w:val="21"/>
          <w:lang w:eastAsia="fr-FR"/>
        </w:rPr>
      </w:pPr>
      <w:r w:rsidRPr="00EE7040">
        <w:rPr>
          <w:rFonts w:ascii="Arial" w:eastAsia="Times New Roman" w:hAnsi="Arial" w:cs="Arial"/>
          <w:color w:val="3C3C3C"/>
          <w:sz w:val="21"/>
          <w:szCs w:val="21"/>
          <w:lang w:eastAsia="fr-FR"/>
        </w:rPr>
        <w:t>Versions</w:t>
      </w:r>
    </w:p>
    <w:p w:rsidR="002E5526" w:rsidRDefault="002E5526">
      <w:bookmarkStart w:id="0" w:name="_GoBack"/>
      <w:bookmarkEnd w:id="0"/>
    </w:p>
    <w:sectPr w:rsidR="002E5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40"/>
    <w:rsid w:val="002E5526"/>
    <w:rsid w:val="00766C23"/>
    <w:rsid w:val="00EE7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ED1C0-F786-4D58-89C8-DC0D9D1E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19768">
      <w:bodyDiv w:val="1"/>
      <w:marLeft w:val="0"/>
      <w:marRight w:val="0"/>
      <w:marTop w:val="0"/>
      <w:marBottom w:val="0"/>
      <w:divBdr>
        <w:top w:val="none" w:sz="0" w:space="0" w:color="auto"/>
        <w:left w:val="none" w:sz="0" w:space="0" w:color="auto"/>
        <w:bottom w:val="none" w:sz="0" w:space="0" w:color="auto"/>
        <w:right w:val="none" w:sz="0" w:space="0" w:color="auto"/>
      </w:divBdr>
      <w:divsChild>
        <w:div w:id="787436141">
          <w:marLeft w:val="0"/>
          <w:marRight w:val="0"/>
          <w:marTop w:val="0"/>
          <w:marBottom w:val="0"/>
          <w:divBdr>
            <w:top w:val="none" w:sz="0" w:space="0" w:color="auto"/>
            <w:left w:val="none" w:sz="0" w:space="0" w:color="auto"/>
            <w:bottom w:val="none" w:sz="0" w:space="0" w:color="auto"/>
            <w:right w:val="none" w:sz="0" w:space="0" w:color="auto"/>
          </w:divBdr>
        </w:div>
        <w:div w:id="1106539612">
          <w:marLeft w:val="0"/>
          <w:marRight w:val="0"/>
          <w:marTop w:val="0"/>
          <w:marBottom w:val="0"/>
          <w:divBdr>
            <w:top w:val="none" w:sz="0" w:space="0" w:color="auto"/>
            <w:left w:val="none" w:sz="0" w:space="0" w:color="auto"/>
            <w:bottom w:val="none" w:sz="0" w:space="0" w:color="auto"/>
            <w:right w:val="none" w:sz="0" w:space="0" w:color="auto"/>
          </w:divBdr>
        </w:div>
        <w:div w:id="854686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6387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Groupe Figaro</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PLANCKE Lauriane</dc:creator>
  <cp:keywords/>
  <dc:description/>
  <cp:lastModifiedBy>LEROY PLANCKE Lauriane</cp:lastModifiedBy>
  <cp:revision>1</cp:revision>
  <dcterms:created xsi:type="dcterms:W3CDTF">2021-06-30T15:11:00Z</dcterms:created>
  <dcterms:modified xsi:type="dcterms:W3CDTF">2021-06-30T15:11:00Z</dcterms:modified>
</cp:coreProperties>
</file>